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255C0" w14:textId="28704400" w:rsidR="00A47D13" w:rsidRPr="00B93A77" w:rsidRDefault="00BE4D57" w:rsidP="00B93A77">
      <w:pPr>
        <w:jc w:val="center"/>
        <w:rPr>
          <w:b/>
          <w:sz w:val="28"/>
          <w:lang w:val="en-GB"/>
        </w:rPr>
      </w:pPr>
      <w:r w:rsidRPr="00B93A77">
        <w:rPr>
          <w:b/>
          <w:sz w:val="28"/>
          <w:lang w:val="en-GB"/>
        </w:rPr>
        <w:t>Course Rules update – main changes</w:t>
      </w:r>
    </w:p>
    <w:p w14:paraId="75ED81D9" w14:textId="6A3B6286" w:rsidR="00B93A77" w:rsidRPr="00B93A77" w:rsidRDefault="00302A3F">
      <w:pPr>
        <w:rPr>
          <w:i/>
          <w:lang w:val="en-GB"/>
        </w:rPr>
      </w:pPr>
      <w:r>
        <w:rPr>
          <w:i/>
          <w:lang w:val="en-GB"/>
        </w:rPr>
        <w:t>V</w:t>
      </w:r>
      <w:r w:rsidR="00B93A77">
        <w:rPr>
          <w:i/>
          <w:lang w:val="en-GB"/>
        </w:rPr>
        <w:t xml:space="preserve">ersion </w:t>
      </w:r>
      <w:r>
        <w:rPr>
          <w:i/>
          <w:lang w:val="en-GB"/>
        </w:rPr>
        <w:t>2</w:t>
      </w:r>
      <w:r w:rsidR="00F4506D">
        <w:rPr>
          <w:i/>
          <w:lang w:val="en-GB"/>
        </w:rPr>
        <w:t>0</w:t>
      </w:r>
      <w:r w:rsidR="00B93A77">
        <w:rPr>
          <w:i/>
          <w:lang w:val="en-GB"/>
        </w:rPr>
        <w:t>.1</w:t>
      </w:r>
      <w:r w:rsidR="00F4506D">
        <w:rPr>
          <w:i/>
          <w:lang w:val="en-GB"/>
        </w:rPr>
        <w:t>1</w:t>
      </w:r>
      <w:r w:rsidR="00B93A77">
        <w:rPr>
          <w:i/>
          <w:lang w:val="en-GB"/>
        </w:rPr>
        <w:t>.20</w:t>
      </w:r>
      <w:r w:rsidR="00F4506D">
        <w:rPr>
          <w:i/>
          <w:lang w:val="en-GB"/>
        </w:rPr>
        <w:t>20</w:t>
      </w:r>
    </w:p>
    <w:p w14:paraId="63409BA3" w14:textId="77777777" w:rsidR="00BE4D57" w:rsidRPr="00BE4D57" w:rsidRDefault="00BE4D57">
      <w:pPr>
        <w:rPr>
          <w:lang w:val="en-GB"/>
        </w:rPr>
      </w:pPr>
    </w:p>
    <w:p w14:paraId="409FA3D7" w14:textId="71C30653" w:rsidR="00BE4D57" w:rsidRDefault="00BE4D57">
      <w:pPr>
        <w:rPr>
          <w:lang w:val="en-GB"/>
        </w:rPr>
      </w:pPr>
      <w:r w:rsidRPr="00BE4D57">
        <w:rPr>
          <w:lang w:val="en-GB"/>
        </w:rPr>
        <w:t xml:space="preserve">The ERC Board, following the advice of the Development Committee on Education (DC Edu) has approved an update of the ERC Course Rules on its meeting of </w:t>
      </w:r>
      <w:r w:rsidR="00A0783E">
        <w:rPr>
          <w:lang w:val="en-GB"/>
        </w:rPr>
        <w:t>08</w:t>
      </w:r>
      <w:r w:rsidRPr="00BE4D57">
        <w:rPr>
          <w:lang w:val="en-GB"/>
        </w:rPr>
        <w:t>.</w:t>
      </w:r>
      <w:r w:rsidR="00A0783E">
        <w:rPr>
          <w:lang w:val="en-GB"/>
        </w:rPr>
        <w:t>10</w:t>
      </w:r>
      <w:r w:rsidRPr="00BE4D57">
        <w:rPr>
          <w:lang w:val="en-GB"/>
        </w:rPr>
        <w:t>.20</w:t>
      </w:r>
      <w:r w:rsidR="00F4506D">
        <w:rPr>
          <w:lang w:val="en-GB"/>
        </w:rPr>
        <w:t>20</w:t>
      </w:r>
      <w:r w:rsidRPr="00BE4D57">
        <w:rPr>
          <w:lang w:val="en-GB"/>
        </w:rPr>
        <w:t>.</w:t>
      </w:r>
    </w:p>
    <w:p w14:paraId="110A55D8" w14:textId="24A35F4F" w:rsidR="00302A3F" w:rsidRPr="00BE4D57" w:rsidRDefault="00302A3F">
      <w:pPr>
        <w:rPr>
          <w:lang w:val="en-GB"/>
        </w:rPr>
      </w:pPr>
      <w:r>
        <w:rPr>
          <w:lang w:val="en-GB"/>
        </w:rPr>
        <w:t xml:space="preserve">These updated Course Rules become applicable as of </w:t>
      </w:r>
      <w:r w:rsidR="003B4880">
        <w:rPr>
          <w:b/>
          <w:lang w:val="en-GB"/>
        </w:rPr>
        <w:t>02</w:t>
      </w:r>
      <w:r w:rsidR="005E2179" w:rsidRPr="005E2179">
        <w:rPr>
          <w:b/>
          <w:lang w:val="en-GB"/>
        </w:rPr>
        <w:t>.</w:t>
      </w:r>
      <w:r w:rsidR="003B4880">
        <w:rPr>
          <w:b/>
          <w:lang w:val="en-GB"/>
        </w:rPr>
        <w:t>01</w:t>
      </w:r>
      <w:r w:rsidR="005E2179" w:rsidRPr="005E2179">
        <w:rPr>
          <w:b/>
          <w:lang w:val="en-GB"/>
        </w:rPr>
        <w:t>.</w:t>
      </w:r>
      <w:r w:rsidR="00F4506D">
        <w:rPr>
          <w:b/>
          <w:lang w:val="en-GB"/>
        </w:rPr>
        <w:t>2021.</w:t>
      </w:r>
    </w:p>
    <w:p w14:paraId="475D50F6" w14:textId="2C66BC73" w:rsidR="00BE4D57" w:rsidRDefault="00BE4D57">
      <w:pPr>
        <w:rPr>
          <w:lang w:val="en-GB"/>
        </w:rPr>
      </w:pPr>
      <w:r w:rsidRPr="00BE4D57">
        <w:rPr>
          <w:lang w:val="en-GB"/>
        </w:rPr>
        <w:t>Apart from small stylistic corrections, the main changes in this update are:</w:t>
      </w:r>
    </w:p>
    <w:p w14:paraId="7C584511" w14:textId="615E8D57" w:rsidR="00AA1632" w:rsidRDefault="00AA1632">
      <w:pPr>
        <w:rPr>
          <w:lang w:val="en-GB"/>
        </w:rPr>
      </w:pPr>
    </w:p>
    <w:p w14:paraId="03613FAA" w14:textId="0D8C5182" w:rsidR="00AA1632" w:rsidRPr="009A4DC0" w:rsidRDefault="00AA1632">
      <w:pPr>
        <w:rPr>
          <w:sz w:val="28"/>
          <w:u w:val="single"/>
          <w:lang w:val="en-GB"/>
        </w:rPr>
      </w:pPr>
      <w:r w:rsidRPr="009A4DC0">
        <w:rPr>
          <w:sz w:val="28"/>
          <w:u w:val="single"/>
          <w:lang w:val="en-GB"/>
        </w:rPr>
        <w:t xml:space="preserve">Most important </w:t>
      </w:r>
      <w:r w:rsidR="009A4DC0" w:rsidRPr="009A4DC0">
        <w:rPr>
          <w:sz w:val="28"/>
          <w:u w:val="single"/>
          <w:lang w:val="en-GB"/>
        </w:rPr>
        <w:t>changes</w:t>
      </w:r>
    </w:p>
    <w:p w14:paraId="5F001289" w14:textId="53A9938D" w:rsidR="00AA1632" w:rsidRPr="00D90A68" w:rsidRDefault="00C014FC" w:rsidP="00825BF1">
      <w:pPr>
        <w:pStyle w:val="ListParagraph"/>
        <w:numPr>
          <w:ilvl w:val="0"/>
          <w:numId w:val="2"/>
        </w:numPr>
        <w:spacing w:after="120"/>
        <w:ind w:left="714" w:hanging="357"/>
        <w:contextualSpacing w:val="0"/>
        <w:rPr>
          <w:rFonts w:ascii="Calibri" w:hAnsi="Calibri" w:cs="Calibri"/>
          <w:lang w:val="en-GB"/>
        </w:rPr>
      </w:pPr>
      <w:r w:rsidRPr="00D90A68">
        <w:rPr>
          <w:rFonts w:ascii="Calibri" w:hAnsi="Calibri" w:cs="Calibri"/>
          <w:lang w:val="en-GB"/>
        </w:rPr>
        <w:t xml:space="preserve">A </w:t>
      </w:r>
      <w:r w:rsidRPr="00637C64">
        <w:rPr>
          <w:rFonts w:ascii="Calibri" w:hAnsi="Calibri" w:cs="Calibri"/>
          <w:b/>
          <w:bCs/>
          <w:lang w:val="en-GB"/>
        </w:rPr>
        <w:t>new faculty role</w:t>
      </w:r>
      <w:r w:rsidRPr="00D90A68">
        <w:rPr>
          <w:rFonts w:ascii="Calibri" w:hAnsi="Calibri" w:cs="Calibri"/>
          <w:lang w:val="en-GB"/>
        </w:rPr>
        <w:t xml:space="preserve"> </w:t>
      </w:r>
      <w:r w:rsidR="00AA1632" w:rsidRPr="00D90A68">
        <w:rPr>
          <w:rFonts w:ascii="Calibri" w:hAnsi="Calibri" w:cs="Calibri"/>
          <w:lang w:val="en-GB"/>
        </w:rPr>
        <w:t>is introduced</w:t>
      </w:r>
      <w:r w:rsidRPr="00D90A68">
        <w:rPr>
          <w:rFonts w:ascii="Calibri" w:hAnsi="Calibri" w:cs="Calibri"/>
          <w:lang w:val="en-GB"/>
        </w:rPr>
        <w:t xml:space="preserve"> in </w:t>
      </w:r>
      <w:r w:rsidRPr="00637C64">
        <w:rPr>
          <w:rFonts w:ascii="Calibri" w:hAnsi="Calibri" w:cs="Calibri"/>
          <w:b/>
          <w:bCs/>
          <w:lang w:val="en-GB"/>
        </w:rPr>
        <w:t>BLS courses</w:t>
      </w:r>
      <w:r w:rsidR="00AA1632" w:rsidRPr="00637C64">
        <w:rPr>
          <w:rFonts w:ascii="Calibri" w:hAnsi="Calibri" w:cs="Calibri"/>
          <w:b/>
          <w:bCs/>
          <w:lang w:val="en-GB"/>
        </w:rPr>
        <w:t>:</w:t>
      </w:r>
      <w:r w:rsidR="00AA1632" w:rsidRPr="00D90A68">
        <w:rPr>
          <w:rFonts w:ascii="Calibri" w:hAnsi="Calibri" w:cs="Calibri"/>
          <w:lang w:val="en-GB"/>
        </w:rPr>
        <w:t xml:space="preserve"> </w:t>
      </w:r>
      <w:r w:rsidRPr="00637C64">
        <w:rPr>
          <w:rFonts w:ascii="Calibri" w:hAnsi="Calibri" w:cs="Calibri"/>
          <w:b/>
          <w:bCs/>
          <w:lang w:val="en-GB"/>
        </w:rPr>
        <w:t>Lead Instructor</w:t>
      </w:r>
      <w:r w:rsidRPr="00D90A68">
        <w:rPr>
          <w:rFonts w:ascii="Calibri" w:hAnsi="Calibri" w:cs="Calibri"/>
          <w:lang w:val="en-GB"/>
        </w:rPr>
        <w:t>. (2.22) For basic life courses, a Lead instructor takes up the same responsibilities as a Course Director. Contrary to a Course Director, this Lead Instructor is an assigned role, not a separate certification.</w:t>
      </w:r>
    </w:p>
    <w:p w14:paraId="2B8E7D69" w14:textId="77777777" w:rsidR="003E622D" w:rsidRPr="00D90A68" w:rsidRDefault="003E622D" w:rsidP="003E622D">
      <w:pPr>
        <w:pStyle w:val="ListParagraph"/>
        <w:spacing w:after="120"/>
        <w:ind w:left="714"/>
        <w:contextualSpacing w:val="0"/>
        <w:rPr>
          <w:rFonts w:ascii="Calibri" w:hAnsi="Calibri" w:cs="Calibri"/>
          <w:lang w:val="en-GB"/>
        </w:rPr>
      </w:pPr>
    </w:p>
    <w:p w14:paraId="74583E05" w14:textId="414CDE66" w:rsidR="00BE4D57" w:rsidRPr="00D90A68" w:rsidRDefault="00BE4D57" w:rsidP="002C55D3">
      <w:pPr>
        <w:pStyle w:val="ListParagraph"/>
        <w:numPr>
          <w:ilvl w:val="0"/>
          <w:numId w:val="2"/>
        </w:numPr>
        <w:spacing w:after="120"/>
        <w:ind w:left="714" w:hanging="357"/>
        <w:contextualSpacing w:val="0"/>
        <w:rPr>
          <w:rFonts w:ascii="Calibri" w:hAnsi="Calibri" w:cs="Calibri"/>
          <w:lang w:val="en-GB"/>
        </w:rPr>
      </w:pPr>
      <w:r w:rsidRPr="00D90A68">
        <w:rPr>
          <w:rFonts w:ascii="Calibri" w:hAnsi="Calibri" w:cs="Calibri"/>
          <w:lang w:val="en-GB"/>
        </w:rPr>
        <w:t>The Basic Instructor Course (</w:t>
      </w:r>
      <w:r w:rsidRPr="00D90A68">
        <w:rPr>
          <w:rFonts w:ascii="Calibri" w:hAnsi="Calibri" w:cs="Calibri"/>
          <w:b/>
          <w:lang w:val="en-GB"/>
        </w:rPr>
        <w:t>BIC</w:t>
      </w:r>
      <w:r w:rsidRPr="00D90A68">
        <w:rPr>
          <w:rFonts w:ascii="Calibri" w:hAnsi="Calibri" w:cs="Calibri"/>
          <w:lang w:val="en-GB"/>
        </w:rPr>
        <w:t>)</w:t>
      </w:r>
      <w:r w:rsidR="00B6272A" w:rsidRPr="00D90A68">
        <w:rPr>
          <w:rFonts w:ascii="Calibri" w:hAnsi="Calibri" w:cs="Calibri"/>
          <w:lang w:val="en-GB"/>
        </w:rPr>
        <w:t xml:space="preserve"> will be complemented with a BIC skill module for PBLS or BLS. Providers who complete a Basic Instructor Course become IC for a certain course type </w:t>
      </w:r>
      <w:proofErr w:type="gramStart"/>
      <w:r w:rsidR="00B6272A" w:rsidRPr="00D90A68">
        <w:rPr>
          <w:rFonts w:ascii="Calibri" w:hAnsi="Calibri" w:cs="Calibri"/>
          <w:lang w:val="en-GB"/>
        </w:rPr>
        <w:t>e.g.</w:t>
      </w:r>
      <w:proofErr w:type="gramEnd"/>
      <w:r w:rsidR="00B6272A" w:rsidRPr="00D90A68">
        <w:rPr>
          <w:rFonts w:ascii="Calibri" w:hAnsi="Calibri" w:cs="Calibri"/>
          <w:lang w:val="en-GB"/>
        </w:rPr>
        <w:t xml:space="preserve"> BLS. If they afterwards attend another basic course type </w:t>
      </w:r>
      <w:proofErr w:type="gramStart"/>
      <w:r w:rsidR="00B6272A" w:rsidRPr="00D90A68">
        <w:rPr>
          <w:rFonts w:ascii="Calibri" w:hAnsi="Calibri" w:cs="Calibri"/>
          <w:lang w:val="en-GB"/>
        </w:rPr>
        <w:t>e.g.</w:t>
      </w:r>
      <w:proofErr w:type="gramEnd"/>
      <w:r w:rsidR="00B6272A" w:rsidRPr="00D90A68">
        <w:rPr>
          <w:rFonts w:ascii="Calibri" w:hAnsi="Calibri" w:cs="Calibri"/>
          <w:lang w:val="en-GB"/>
        </w:rPr>
        <w:t xml:space="preserve"> PBLS they would theoretically become IC for that course type by definition (having already done a BIC). However, to guarantee a sufficient level of skills and knowledge countries might ask these providers to at least have done an additional dedicated BIC skill module in either PBLS or BLS.</w:t>
      </w:r>
      <w:r w:rsidR="00B6272A" w:rsidRPr="00D90A68">
        <w:rPr>
          <w:rFonts w:ascii="Calibri" w:hAnsi="Calibri" w:cs="Calibri"/>
          <w:sz w:val="20"/>
          <w:szCs w:val="20"/>
          <w:lang w:val="en-US"/>
        </w:rPr>
        <w:t xml:space="preserve"> </w:t>
      </w:r>
      <w:r w:rsidRPr="00D90A68">
        <w:rPr>
          <w:rFonts w:ascii="Calibri" w:hAnsi="Calibri" w:cs="Calibri"/>
          <w:lang w:val="en-GB"/>
        </w:rPr>
        <w:t xml:space="preserve"> (2.</w:t>
      </w:r>
      <w:r w:rsidR="00B6272A" w:rsidRPr="00D90A68">
        <w:rPr>
          <w:rFonts w:ascii="Calibri" w:hAnsi="Calibri" w:cs="Calibri"/>
          <w:lang w:val="en-GB"/>
        </w:rPr>
        <w:t>4</w:t>
      </w:r>
      <w:r w:rsidR="00607E22">
        <w:rPr>
          <w:rFonts w:ascii="Calibri" w:hAnsi="Calibri" w:cs="Calibri"/>
          <w:lang w:val="en-GB"/>
        </w:rPr>
        <w:t>3</w:t>
      </w:r>
      <w:r w:rsidRPr="00D90A68">
        <w:rPr>
          <w:rFonts w:ascii="Calibri" w:hAnsi="Calibri" w:cs="Calibri"/>
          <w:lang w:val="en-GB"/>
        </w:rPr>
        <w:t>)</w:t>
      </w:r>
    </w:p>
    <w:p w14:paraId="50EDF3AA" w14:textId="77777777" w:rsidR="003E622D" w:rsidRPr="00D90A68" w:rsidRDefault="003E622D" w:rsidP="003E622D">
      <w:pPr>
        <w:pStyle w:val="ListParagraph"/>
        <w:spacing w:after="120"/>
        <w:ind w:left="714"/>
        <w:contextualSpacing w:val="0"/>
        <w:rPr>
          <w:rFonts w:ascii="Calibri" w:hAnsi="Calibri" w:cs="Calibri"/>
          <w:lang w:val="en-GB"/>
        </w:rPr>
      </w:pPr>
    </w:p>
    <w:p w14:paraId="3D37FFB2" w14:textId="12BFB7F2" w:rsidR="00B6272A" w:rsidRPr="00D90A68" w:rsidRDefault="00B6272A" w:rsidP="002C55D3">
      <w:pPr>
        <w:pStyle w:val="ListParagraph"/>
        <w:numPr>
          <w:ilvl w:val="0"/>
          <w:numId w:val="2"/>
        </w:numPr>
        <w:spacing w:after="120"/>
        <w:ind w:left="714" w:hanging="357"/>
        <w:contextualSpacing w:val="0"/>
        <w:rPr>
          <w:rFonts w:ascii="Calibri" w:hAnsi="Calibri" w:cs="Calibri"/>
          <w:lang w:val="en-GB"/>
        </w:rPr>
      </w:pPr>
      <w:r w:rsidRPr="00D90A68">
        <w:rPr>
          <w:rFonts w:ascii="Calibri" w:hAnsi="Calibri" w:cs="Calibri"/>
          <w:lang w:val="en-GB"/>
        </w:rPr>
        <w:t>Changes to the core programme for each course type will be in collaboration with the relevant SEC. (3.4)</w:t>
      </w:r>
    </w:p>
    <w:p w14:paraId="600082A6" w14:textId="77777777" w:rsidR="003E622D" w:rsidRPr="00D90A68" w:rsidRDefault="003E622D" w:rsidP="003E622D">
      <w:pPr>
        <w:pStyle w:val="ListParagraph"/>
        <w:spacing w:after="120"/>
        <w:ind w:left="714"/>
        <w:contextualSpacing w:val="0"/>
        <w:rPr>
          <w:rFonts w:ascii="Calibri" w:hAnsi="Calibri" w:cs="Calibri"/>
          <w:lang w:val="en-GB"/>
        </w:rPr>
      </w:pPr>
    </w:p>
    <w:p w14:paraId="68055935" w14:textId="3CFCBAE2" w:rsidR="00305DAE" w:rsidRPr="00D90A68" w:rsidRDefault="004022E2" w:rsidP="00FE4848">
      <w:pPr>
        <w:pStyle w:val="NoSpacing"/>
        <w:numPr>
          <w:ilvl w:val="0"/>
          <w:numId w:val="2"/>
        </w:numPr>
        <w:rPr>
          <w:i/>
          <w:iCs/>
          <w:lang w:val="en-GB"/>
        </w:rPr>
      </w:pPr>
      <w:r w:rsidRPr="00D90A68">
        <w:rPr>
          <w:lang w:val="en-GB"/>
        </w:rPr>
        <w:t xml:space="preserve">For Advanced Courses, the </w:t>
      </w:r>
      <w:r w:rsidRPr="00D90A68">
        <w:rPr>
          <w:b/>
          <w:bCs/>
          <w:lang w:val="en-GB"/>
        </w:rPr>
        <w:t>pre</w:t>
      </w:r>
      <w:r w:rsidR="00607E22">
        <w:rPr>
          <w:b/>
          <w:bCs/>
          <w:lang w:val="en-GB"/>
        </w:rPr>
        <w:t>-</w:t>
      </w:r>
      <w:r w:rsidRPr="00D90A68">
        <w:rPr>
          <w:b/>
          <w:bCs/>
          <w:lang w:val="en-GB"/>
        </w:rPr>
        <w:t>MCQ will become mandatory</w:t>
      </w:r>
      <w:r w:rsidRPr="00D90A68">
        <w:rPr>
          <w:lang w:val="en-GB"/>
        </w:rPr>
        <w:t>.</w:t>
      </w:r>
      <w:r w:rsidR="003E52A6" w:rsidRPr="00D90A68">
        <w:rPr>
          <w:lang w:val="en-GB"/>
        </w:rPr>
        <w:t xml:space="preserve"> (4.4)</w:t>
      </w:r>
    </w:p>
    <w:p w14:paraId="39870BFB" w14:textId="469A430C" w:rsidR="00BE4D57" w:rsidRPr="00D90A68" w:rsidRDefault="002E7A7F" w:rsidP="00FE4848">
      <w:pPr>
        <w:pStyle w:val="NoSpacing"/>
        <w:ind w:left="708"/>
        <w:rPr>
          <w:lang w:val="en-GB"/>
        </w:rPr>
      </w:pPr>
      <w:r w:rsidRPr="00D90A68">
        <w:rPr>
          <w:lang w:val="en-GB"/>
        </w:rPr>
        <w:t>A pre</w:t>
      </w:r>
      <w:r w:rsidR="00607E22">
        <w:rPr>
          <w:lang w:val="en-GB"/>
        </w:rPr>
        <w:t>-</w:t>
      </w:r>
      <w:r w:rsidR="00305DAE" w:rsidRPr="00D90A68">
        <w:rPr>
          <w:lang w:val="en-GB"/>
        </w:rPr>
        <w:t>MCQ</w:t>
      </w:r>
      <w:r w:rsidRPr="00D90A68">
        <w:rPr>
          <w:lang w:val="en-GB"/>
        </w:rPr>
        <w:t xml:space="preserve"> should be used as part of the preparation for the course. This test is standard administered online as part of the e-learning but if wanted can also be taken off-line after which the CD/CO will need to upload the test results into CoSy. </w:t>
      </w:r>
      <w:r w:rsidR="00AC3A97" w:rsidRPr="00D90A68">
        <w:rPr>
          <w:lang w:val="en-GB"/>
        </w:rPr>
        <w:t>(5.2)</w:t>
      </w:r>
    </w:p>
    <w:p w14:paraId="5B5A5587" w14:textId="77777777" w:rsidR="003E622D" w:rsidRPr="00D90A68" w:rsidRDefault="003E622D" w:rsidP="003E622D">
      <w:pPr>
        <w:spacing w:after="120"/>
        <w:rPr>
          <w:rFonts w:ascii="Calibri" w:hAnsi="Calibri" w:cs="Calibri"/>
          <w:i/>
          <w:iCs/>
          <w:lang w:val="en-GB"/>
        </w:rPr>
      </w:pPr>
    </w:p>
    <w:p w14:paraId="28A3EC77" w14:textId="372CC481" w:rsidR="002E7A7F" w:rsidRPr="00D90A68" w:rsidRDefault="002E7A7F" w:rsidP="002E7A7F">
      <w:pPr>
        <w:pStyle w:val="ListParagraph"/>
        <w:numPr>
          <w:ilvl w:val="0"/>
          <w:numId w:val="2"/>
        </w:numPr>
        <w:tabs>
          <w:tab w:val="left" w:pos="700"/>
        </w:tabs>
        <w:rPr>
          <w:rFonts w:ascii="Calibri" w:hAnsi="Calibri" w:cs="Calibri"/>
          <w:sz w:val="20"/>
          <w:szCs w:val="20"/>
          <w:lang w:val="en-US"/>
        </w:rPr>
      </w:pPr>
      <w:r w:rsidRPr="00D90A68">
        <w:rPr>
          <w:rFonts w:ascii="Calibri" w:eastAsia="Corbel" w:hAnsi="Calibri" w:cs="Calibri"/>
          <w:lang w:val="en-US"/>
        </w:rPr>
        <w:t>Participants of GICs must have a valid ERC IP status. This is not needed to attend a BIC. (5.5)</w:t>
      </w:r>
    </w:p>
    <w:p w14:paraId="4B7B52D1" w14:textId="77777777" w:rsidR="00825BF1" w:rsidRPr="00D90A68" w:rsidRDefault="00825BF1" w:rsidP="00825BF1">
      <w:pPr>
        <w:pStyle w:val="ListParagraph"/>
        <w:tabs>
          <w:tab w:val="left" w:pos="700"/>
        </w:tabs>
        <w:rPr>
          <w:rFonts w:ascii="Calibri" w:hAnsi="Calibri" w:cs="Calibri"/>
          <w:sz w:val="20"/>
          <w:szCs w:val="20"/>
          <w:lang w:val="en-US"/>
        </w:rPr>
      </w:pPr>
    </w:p>
    <w:p w14:paraId="43CBCB0D" w14:textId="610BB552" w:rsidR="00FE4848" w:rsidRDefault="00825BF1" w:rsidP="00FE4848">
      <w:pPr>
        <w:pStyle w:val="NoSpacing"/>
        <w:numPr>
          <w:ilvl w:val="0"/>
          <w:numId w:val="2"/>
        </w:numPr>
        <w:rPr>
          <w:lang w:val="en-GB"/>
        </w:rPr>
      </w:pPr>
      <w:r w:rsidRPr="00D90A68">
        <w:rPr>
          <w:lang w:val="en-GB"/>
        </w:rPr>
        <w:t>CC shall offer the possibility for a MCQ resit after the course. (7.1</w:t>
      </w:r>
      <w:r w:rsidR="00607E22">
        <w:rPr>
          <w:lang w:val="en-GB"/>
        </w:rPr>
        <w:t>3</w:t>
      </w:r>
      <w:r w:rsidRPr="00D90A68">
        <w:rPr>
          <w:lang w:val="en-GB"/>
        </w:rPr>
        <w:t>)</w:t>
      </w:r>
    </w:p>
    <w:p w14:paraId="0CE3623F" w14:textId="576F778A" w:rsidR="00B82278" w:rsidRPr="00FE4848" w:rsidRDefault="00305DAE" w:rsidP="00FE4848">
      <w:pPr>
        <w:pStyle w:val="NoSpacing"/>
        <w:ind w:left="708"/>
        <w:rPr>
          <w:lang w:val="en-GB"/>
        </w:rPr>
      </w:pPr>
      <w:r w:rsidRPr="00FE4848">
        <w:rPr>
          <w:lang w:val="en-GB"/>
        </w:rPr>
        <w:t xml:space="preserve">A candidate will be given </w:t>
      </w:r>
      <w:r w:rsidRPr="00FE4848">
        <w:rPr>
          <w:b/>
          <w:bCs/>
          <w:lang w:val="en-GB"/>
        </w:rPr>
        <w:t>appropriate feedback</w:t>
      </w:r>
      <w:r w:rsidRPr="00FE4848">
        <w:rPr>
          <w:lang w:val="en-GB"/>
        </w:rPr>
        <w:t xml:space="preserve"> if they do not meet the recognised criteria. (7.4)</w:t>
      </w:r>
    </w:p>
    <w:p w14:paraId="6FF04003" w14:textId="77777777" w:rsidR="003E622D" w:rsidRPr="00D90A68" w:rsidRDefault="003E622D" w:rsidP="003E622D">
      <w:pPr>
        <w:spacing w:after="120"/>
        <w:rPr>
          <w:rFonts w:ascii="Calibri" w:hAnsi="Calibri" w:cs="Calibri"/>
          <w:lang w:val="en-GB"/>
        </w:rPr>
      </w:pPr>
    </w:p>
    <w:p w14:paraId="7312842F" w14:textId="2B67B504" w:rsidR="00BF371C" w:rsidRDefault="00D40469" w:rsidP="00FE4848">
      <w:pPr>
        <w:pStyle w:val="ListParagraph"/>
        <w:numPr>
          <w:ilvl w:val="0"/>
          <w:numId w:val="2"/>
        </w:numPr>
        <w:rPr>
          <w:lang w:val="en-US"/>
        </w:rPr>
      </w:pPr>
      <w:r w:rsidRPr="00FE4848">
        <w:rPr>
          <w:lang w:val="en-US"/>
        </w:rPr>
        <w:t xml:space="preserve">IPs are eligible to undertake the relevant Instructor Course </w:t>
      </w:r>
      <w:r w:rsidRPr="00FE4848">
        <w:rPr>
          <w:b/>
          <w:bCs/>
          <w:lang w:val="en-US"/>
        </w:rPr>
        <w:t>within 3 years</w:t>
      </w:r>
      <w:r w:rsidRPr="00FE4848">
        <w:rPr>
          <w:lang w:val="en-US"/>
        </w:rPr>
        <w:t>. (7.2</w:t>
      </w:r>
      <w:r w:rsidR="00607E22">
        <w:rPr>
          <w:lang w:val="en-US"/>
        </w:rPr>
        <w:t>4</w:t>
      </w:r>
      <w:r w:rsidRPr="00FE4848">
        <w:rPr>
          <w:lang w:val="en-US"/>
        </w:rPr>
        <w:t>)</w:t>
      </w:r>
    </w:p>
    <w:p w14:paraId="09EE5197" w14:textId="77777777" w:rsidR="00FE4848" w:rsidRPr="00FE4848" w:rsidRDefault="00FE4848" w:rsidP="00FE4848">
      <w:pPr>
        <w:pStyle w:val="ListParagraph"/>
        <w:rPr>
          <w:lang w:val="en-US"/>
        </w:rPr>
      </w:pPr>
    </w:p>
    <w:p w14:paraId="70D3D70F" w14:textId="77777777" w:rsidR="00FE4848" w:rsidRPr="00FE4848" w:rsidRDefault="00FE4848" w:rsidP="00FE4848">
      <w:pPr>
        <w:pStyle w:val="ListParagraph"/>
        <w:rPr>
          <w:lang w:val="en-US"/>
        </w:rPr>
      </w:pPr>
    </w:p>
    <w:p w14:paraId="4D94162B" w14:textId="78EB39E7" w:rsidR="00861CA0" w:rsidRPr="00D90A68" w:rsidRDefault="00B07B17" w:rsidP="00861CA0">
      <w:pPr>
        <w:pStyle w:val="ListParagraph"/>
        <w:numPr>
          <w:ilvl w:val="0"/>
          <w:numId w:val="2"/>
        </w:numPr>
        <w:spacing w:after="120"/>
        <w:ind w:left="714" w:hanging="357"/>
        <w:contextualSpacing w:val="0"/>
        <w:rPr>
          <w:rFonts w:ascii="Calibri" w:eastAsia="Corbel" w:hAnsi="Calibri" w:cs="Calibri"/>
          <w:lang w:val="en-US"/>
        </w:rPr>
      </w:pPr>
      <w:r w:rsidRPr="00D90A68">
        <w:rPr>
          <w:rFonts w:ascii="Calibri" w:eastAsia="Corbel" w:hAnsi="Calibri" w:cs="Calibri"/>
          <w:lang w:val="en-US"/>
        </w:rPr>
        <w:t xml:space="preserve">ERC certificates </w:t>
      </w:r>
      <w:r w:rsidRPr="00D90A68">
        <w:rPr>
          <w:rFonts w:ascii="Calibri" w:eastAsia="Corbel" w:hAnsi="Calibri" w:cs="Calibri"/>
          <w:b/>
          <w:bCs/>
          <w:lang w:val="en-US"/>
        </w:rPr>
        <w:t>only have a date of certification (date of last course) mentioned</w:t>
      </w:r>
      <w:r w:rsidRPr="00D90A68">
        <w:rPr>
          <w:rFonts w:ascii="Calibri" w:eastAsia="Corbel" w:hAnsi="Calibri" w:cs="Calibri"/>
          <w:lang w:val="en-US"/>
        </w:rPr>
        <w:t xml:space="preserve">. It is up to the holder of the certificate to maintain their knowledge and skills. This will also depend on regional circumstances and local demands. However, </w:t>
      </w:r>
      <w:r w:rsidRPr="00D90A68">
        <w:rPr>
          <w:rFonts w:ascii="Calibri" w:eastAsia="Corbel" w:hAnsi="Calibri" w:cs="Calibri"/>
          <w:b/>
          <w:bCs/>
          <w:lang w:val="en-US"/>
        </w:rPr>
        <w:t xml:space="preserve">to be eligible </w:t>
      </w:r>
      <w:r w:rsidRPr="00D90A68">
        <w:rPr>
          <w:rFonts w:ascii="Calibri" w:eastAsia="Corbel" w:hAnsi="Calibri" w:cs="Calibri"/>
          <w:b/>
          <w:bCs/>
          <w:lang w:val="en-US"/>
        </w:rPr>
        <w:lastRenderedPageBreak/>
        <w:t>for the ERC recertification trajectory, one has to do two recertification module (min duration 2 hours) every 2 years (+/- 3 months)</w:t>
      </w:r>
      <w:r w:rsidRPr="00D90A68">
        <w:rPr>
          <w:rFonts w:ascii="Calibri" w:eastAsia="Corbel" w:hAnsi="Calibri" w:cs="Calibri"/>
          <w:lang w:val="en-US"/>
        </w:rPr>
        <w:t xml:space="preserve">. One module can be an online e-learning module. Upon discretion of the self-sufficient NRC, this period can be decreased to 1 year. </w:t>
      </w:r>
      <w:r w:rsidR="00BF371C" w:rsidRPr="00D90A68">
        <w:rPr>
          <w:rFonts w:ascii="Calibri" w:eastAsia="Corbel" w:hAnsi="Calibri" w:cs="Calibri"/>
          <w:lang w:val="en-US"/>
        </w:rPr>
        <w:t>The Course Rules now define in which case and when a Seat is charged, including the criteria to take along an unused Seat by a participant. (8.</w:t>
      </w:r>
      <w:r w:rsidRPr="00D90A68">
        <w:rPr>
          <w:rFonts w:ascii="Calibri" w:eastAsia="Corbel" w:hAnsi="Calibri" w:cs="Calibri"/>
          <w:lang w:val="en-US"/>
        </w:rPr>
        <w:t>5</w:t>
      </w:r>
      <w:r w:rsidR="00BF371C" w:rsidRPr="00D90A68">
        <w:rPr>
          <w:rFonts w:ascii="Calibri" w:eastAsia="Corbel" w:hAnsi="Calibri" w:cs="Calibri"/>
          <w:lang w:val="en-US"/>
        </w:rPr>
        <w:t>)</w:t>
      </w:r>
    </w:p>
    <w:p w14:paraId="731954D7" w14:textId="77777777" w:rsidR="00D90A68" w:rsidRPr="00D90A68" w:rsidRDefault="00D90A68" w:rsidP="00D90A68">
      <w:pPr>
        <w:pStyle w:val="ListParagraph"/>
        <w:spacing w:after="120"/>
        <w:ind w:left="714"/>
        <w:contextualSpacing w:val="0"/>
        <w:rPr>
          <w:rFonts w:ascii="Calibri" w:eastAsia="Corbel" w:hAnsi="Calibri" w:cs="Calibri"/>
          <w:lang w:val="en-US"/>
        </w:rPr>
      </w:pPr>
    </w:p>
    <w:p w14:paraId="4BCE8B99" w14:textId="62CAAAA8" w:rsidR="00861CA0" w:rsidRPr="00D90A68" w:rsidRDefault="00D90A68" w:rsidP="00861CA0">
      <w:pPr>
        <w:pStyle w:val="ListParagraph"/>
        <w:numPr>
          <w:ilvl w:val="0"/>
          <w:numId w:val="2"/>
        </w:numPr>
        <w:spacing w:after="120"/>
        <w:ind w:left="714" w:hanging="357"/>
        <w:contextualSpacing w:val="0"/>
        <w:rPr>
          <w:rFonts w:ascii="Calibri" w:eastAsia="Corbel" w:hAnsi="Calibri" w:cs="Calibri"/>
          <w:lang w:val="en-US"/>
        </w:rPr>
      </w:pPr>
      <w:r w:rsidRPr="00D90A68">
        <w:rPr>
          <w:rFonts w:ascii="Calibri" w:eastAsia="Corbel" w:hAnsi="Calibri" w:cs="Calibri"/>
          <w:lang w:val="en-US"/>
        </w:rPr>
        <w:t xml:space="preserve">BLS courses can be </w:t>
      </w:r>
      <w:proofErr w:type="spellStart"/>
      <w:proofErr w:type="gramStart"/>
      <w:r w:rsidRPr="00D90A68">
        <w:rPr>
          <w:rFonts w:ascii="Calibri" w:eastAsia="Corbel" w:hAnsi="Calibri" w:cs="Calibri"/>
          <w:b/>
          <w:bCs/>
          <w:lang w:val="en-US"/>
        </w:rPr>
        <w:t>lead</w:t>
      </w:r>
      <w:proofErr w:type="spellEnd"/>
      <w:proofErr w:type="gramEnd"/>
      <w:r w:rsidRPr="00D90A68">
        <w:rPr>
          <w:rFonts w:ascii="Calibri" w:eastAsia="Corbel" w:hAnsi="Calibri" w:cs="Calibri"/>
          <w:lang w:val="en-US"/>
        </w:rPr>
        <w:t xml:space="preserve"> by an BLS Instructor </w:t>
      </w:r>
      <w:r w:rsidRPr="00D90A68">
        <w:rPr>
          <w:rFonts w:ascii="Calibri" w:eastAsia="Corbel" w:hAnsi="Calibri" w:cs="Calibri"/>
          <w:b/>
          <w:bCs/>
          <w:lang w:val="en-US"/>
        </w:rPr>
        <w:t>who has done at least 4 previous courses as an instructor</w:t>
      </w:r>
      <w:r w:rsidRPr="00D90A68">
        <w:rPr>
          <w:rFonts w:ascii="Calibri" w:eastAsia="Corbel" w:hAnsi="Calibri" w:cs="Calibri"/>
          <w:lang w:val="en-US"/>
        </w:rPr>
        <w:t xml:space="preserve">. EPBLS courses can be </w:t>
      </w:r>
      <w:r w:rsidRPr="00D90A68">
        <w:rPr>
          <w:rFonts w:ascii="Calibri" w:eastAsia="Corbel" w:hAnsi="Calibri" w:cs="Calibri"/>
          <w:b/>
          <w:bCs/>
          <w:lang w:val="en-US"/>
        </w:rPr>
        <w:t>directed</w:t>
      </w:r>
      <w:r w:rsidRPr="00D90A68">
        <w:rPr>
          <w:rFonts w:ascii="Calibri" w:eastAsia="Corbel" w:hAnsi="Calibri" w:cs="Calibri"/>
          <w:lang w:val="en-US"/>
        </w:rPr>
        <w:t xml:space="preserve"> by an EPBLS Instructor </w:t>
      </w:r>
      <w:r w:rsidRPr="00D90A68">
        <w:rPr>
          <w:rFonts w:ascii="Calibri" w:eastAsia="Corbel" w:hAnsi="Calibri" w:cs="Calibri"/>
          <w:b/>
          <w:bCs/>
          <w:lang w:val="en-US"/>
        </w:rPr>
        <w:t>who has done at least 4 previous courses as an instructor</w:t>
      </w:r>
      <w:r w:rsidRPr="00D90A68">
        <w:rPr>
          <w:rFonts w:ascii="Calibri" w:eastAsia="Corbel" w:hAnsi="Calibri" w:cs="Calibri"/>
          <w:lang w:val="en-US"/>
        </w:rPr>
        <w:t>. (9.2)</w:t>
      </w:r>
    </w:p>
    <w:p w14:paraId="4B2726A7" w14:textId="77777777" w:rsidR="00861CA0" w:rsidRPr="00D90A68" w:rsidRDefault="00861CA0" w:rsidP="00861CA0">
      <w:pPr>
        <w:tabs>
          <w:tab w:val="left" w:pos="2460"/>
        </w:tabs>
        <w:spacing w:line="231" w:lineRule="auto"/>
        <w:ind w:left="720"/>
        <w:rPr>
          <w:rFonts w:ascii="Calibri" w:eastAsia="Arial" w:hAnsi="Calibri" w:cs="Calibri"/>
          <w:lang w:val="en-US"/>
        </w:rPr>
      </w:pPr>
    </w:p>
    <w:p w14:paraId="437C1D98" w14:textId="69DD5BE3" w:rsidR="00D90A68" w:rsidRPr="00D90A68" w:rsidRDefault="00D90A68" w:rsidP="002C55D3">
      <w:pPr>
        <w:pStyle w:val="ListParagraph"/>
        <w:numPr>
          <w:ilvl w:val="0"/>
          <w:numId w:val="2"/>
        </w:numPr>
        <w:spacing w:after="120"/>
        <w:ind w:left="714" w:hanging="357"/>
        <w:contextualSpacing w:val="0"/>
        <w:rPr>
          <w:rFonts w:ascii="Calibri" w:hAnsi="Calibri" w:cs="Calibri"/>
          <w:lang w:val="en-GB"/>
        </w:rPr>
      </w:pPr>
      <w:r w:rsidRPr="00D90A68">
        <w:rPr>
          <w:rFonts w:ascii="Calibri" w:hAnsi="Calibri" w:cs="Calibri"/>
          <w:b/>
          <w:bCs/>
          <w:lang w:val="en-GB"/>
        </w:rPr>
        <w:t>Instructors must teach at least 2 courses per 3 years and must be reassessed at least every 6 years.</w:t>
      </w:r>
      <w:r w:rsidRPr="00D90A68">
        <w:rPr>
          <w:rFonts w:ascii="Calibri" w:hAnsi="Calibri" w:cs="Calibri"/>
          <w:lang w:val="en-GB"/>
        </w:rPr>
        <w:t xml:space="preserve"> </w:t>
      </w:r>
      <w:r w:rsidRPr="00AD365F">
        <w:rPr>
          <w:rFonts w:ascii="Calibri" w:hAnsi="Calibri" w:cs="Calibri"/>
          <w:b/>
          <w:bCs/>
          <w:lang w:val="en-GB"/>
        </w:rPr>
        <w:t>They also need to attend in that time period at least 1 Educational Instructor Day (organised by their national council or by ERC).</w:t>
      </w:r>
      <w:r w:rsidRPr="00D90A68">
        <w:rPr>
          <w:rFonts w:ascii="Calibri" w:hAnsi="Calibri" w:cs="Calibri"/>
          <w:lang w:val="en-GB"/>
        </w:rPr>
        <w:t xml:space="preserve"> </w:t>
      </w:r>
      <w:r w:rsidR="00AD365F">
        <w:rPr>
          <w:rFonts w:ascii="Calibri" w:hAnsi="Calibri" w:cs="Calibri"/>
          <w:lang w:val="en-GB"/>
        </w:rPr>
        <w:t>(10.</w:t>
      </w:r>
      <w:r w:rsidR="00991891">
        <w:rPr>
          <w:rFonts w:ascii="Calibri" w:hAnsi="Calibri" w:cs="Calibri"/>
          <w:lang w:val="en-GB"/>
        </w:rPr>
        <w:t>6</w:t>
      </w:r>
      <w:r w:rsidR="00AD365F">
        <w:rPr>
          <w:rFonts w:ascii="Calibri" w:hAnsi="Calibri" w:cs="Calibri"/>
          <w:lang w:val="en-GB"/>
        </w:rPr>
        <w:t xml:space="preserve">) </w:t>
      </w:r>
      <w:r w:rsidRPr="00D90A68">
        <w:rPr>
          <w:rFonts w:ascii="Calibri" w:hAnsi="Calibri" w:cs="Calibri"/>
          <w:lang w:val="en-GB"/>
        </w:rPr>
        <w:t xml:space="preserve">To allow for a transition period, this latter condition will only be taken into account for certificates ending after 01/01/2024. This allowing for </w:t>
      </w:r>
      <w:r>
        <w:rPr>
          <w:rFonts w:ascii="Calibri" w:hAnsi="Calibri" w:cs="Calibri"/>
          <w:lang w:val="en-GB"/>
        </w:rPr>
        <w:t>the first-time organisation</w:t>
      </w:r>
      <w:r w:rsidRPr="00D90A68">
        <w:rPr>
          <w:rFonts w:ascii="Calibri" w:hAnsi="Calibri" w:cs="Calibri"/>
          <w:lang w:val="en-GB"/>
        </w:rPr>
        <w:t xml:space="preserve"> of such instructor days in 2022 and 2023.</w:t>
      </w:r>
      <w:r>
        <w:rPr>
          <w:rFonts w:ascii="Calibri" w:hAnsi="Calibri" w:cs="Calibri"/>
          <w:lang w:val="en-GB"/>
        </w:rPr>
        <w:t xml:space="preserve"> (9.14)</w:t>
      </w:r>
    </w:p>
    <w:p w14:paraId="2BB17E91" w14:textId="77777777" w:rsidR="00FE4848" w:rsidRDefault="00FE4848" w:rsidP="00FE4848">
      <w:pPr>
        <w:rPr>
          <w:lang w:val="en-GB"/>
        </w:rPr>
      </w:pPr>
    </w:p>
    <w:p w14:paraId="3B858D80" w14:textId="5DD94F42" w:rsidR="00486687" w:rsidRPr="00FE4848" w:rsidRDefault="00486687" w:rsidP="00FE4848">
      <w:pPr>
        <w:pStyle w:val="ListParagraph"/>
        <w:numPr>
          <w:ilvl w:val="0"/>
          <w:numId w:val="2"/>
        </w:numPr>
        <w:rPr>
          <w:lang w:val="en-GB"/>
        </w:rPr>
      </w:pPr>
      <w:r w:rsidRPr="00FE4848">
        <w:rPr>
          <w:lang w:val="en-GB"/>
        </w:rPr>
        <w:t>After successful completion of an Instructor Course</w:t>
      </w:r>
      <w:r w:rsidRPr="00FE4848">
        <w:rPr>
          <w:b/>
          <w:bCs/>
          <w:lang w:val="en-GB"/>
        </w:rPr>
        <w:t>, all ICs are required to teach on two full Provider courses (no recertification courses) within a period of 3 years</w:t>
      </w:r>
      <w:r w:rsidRPr="00FE4848">
        <w:rPr>
          <w:lang w:val="en-GB"/>
        </w:rPr>
        <w:t xml:space="preserve"> to the satisfaction of the CD before I status is granted and a certificate issued. (9.16)</w:t>
      </w:r>
    </w:p>
    <w:p w14:paraId="3C4D6BCE" w14:textId="77777777" w:rsidR="00486687" w:rsidRPr="00486687" w:rsidRDefault="00486687" w:rsidP="00486687">
      <w:pPr>
        <w:pStyle w:val="ListParagraph"/>
        <w:spacing w:after="120"/>
        <w:ind w:left="714"/>
        <w:contextualSpacing w:val="0"/>
        <w:rPr>
          <w:rFonts w:ascii="Calibri" w:hAnsi="Calibri" w:cs="Calibri"/>
          <w:lang w:val="en-GB"/>
        </w:rPr>
      </w:pPr>
    </w:p>
    <w:p w14:paraId="55E88F19" w14:textId="77777777" w:rsidR="00632368" w:rsidRPr="00632368" w:rsidRDefault="00632368" w:rsidP="00632368">
      <w:pPr>
        <w:pStyle w:val="ListParagraph"/>
        <w:numPr>
          <w:ilvl w:val="0"/>
          <w:numId w:val="2"/>
        </w:numPr>
        <w:spacing w:after="120"/>
        <w:rPr>
          <w:lang w:val="en-GB"/>
        </w:rPr>
      </w:pPr>
      <w:r w:rsidRPr="00632368">
        <w:rPr>
          <w:lang w:val="en-GB"/>
        </w:rPr>
        <w:t>Existing ICs who are recommended as having IP on a different course type may proceed directly to Instructor Candidate status for that course type, they then need to teach on two courses to the satisfaction of the CD in order to become FI of the new course type.</w:t>
      </w:r>
    </w:p>
    <w:p w14:paraId="160126BC" w14:textId="468E147B" w:rsidR="00897922" w:rsidRDefault="00632368" w:rsidP="00897922">
      <w:pPr>
        <w:pStyle w:val="ListParagraph"/>
        <w:spacing w:after="120"/>
        <w:contextualSpacing w:val="0"/>
        <w:rPr>
          <w:lang w:val="en-GB"/>
        </w:rPr>
      </w:pPr>
      <w:r w:rsidRPr="00897922">
        <w:rPr>
          <w:b/>
          <w:bCs/>
          <w:lang w:val="en-GB"/>
        </w:rPr>
        <w:t>For basic courses, given that there is no need for having been given IP, this is only the case if that person has proven sufficient knowledge and skills for that new course type by attending a specific BIC skill module.</w:t>
      </w:r>
      <w:r w:rsidR="00897922">
        <w:rPr>
          <w:lang w:val="en-GB"/>
        </w:rPr>
        <w:t xml:space="preserve"> (9.24)</w:t>
      </w:r>
    </w:p>
    <w:p w14:paraId="53B47ECF" w14:textId="4E71BA05" w:rsidR="00897922" w:rsidRPr="00897922" w:rsidRDefault="00897922" w:rsidP="00897922">
      <w:pPr>
        <w:pStyle w:val="ListParagraph"/>
        <w:spacing w:after="120"/>
        <w:contextualSpacing w:val="0"/>
        <w:rPr>
          <w:rFonts w:ascii="Calibri" w:hAnsi="Calibri" w:cs="Calibri"/>
          <w:lang w:val="en-GB"/>
        </w:rPr>
      </w:pPr>
    </w:p>
    <w:p w14:paraId="7BFA1E17" w14:textId="6469C39E" w:rsidR="00897922" w:rsidRPr="00897922" w:rsidRDefault="00897922" w:rsidP="00897922">
      <w:pPr>
        <w:pStyle w:val="ListParagraph"/>
        <w:numPr>
          <w:ilvl w:val="0"/>
          <w:numId w:val="2"/>
        </w:numPr>
        <w:spacing w:after="120"/>
        <w:contextualSpacing w:val="0"/>
        <w:rPr>
          <w:rFonts w:ascii="Calibri" w:hAnsi="Calibri" w:cs="Calibri"/>
          <w:lang w:val="en-GB"/>
        </w:rPr>
      </w:pPr>
      <w:r w:rsidRPr="00897922">
        <w:rPr>
          <w:rFonts w:ascii="Calibri" w:eastAsia="Corbel" w:hAnsi="Calibri" w:cs="Calibri"/>
          <w:lang w:val="en-US"/>
        </w:rPr>
        <w:t xml:space="preserve">Eds must take part in the ERC quality maintaining program for Educators: </w:t>
      </w:r>
      <w:r w:rsidRPr="00637C64">
        <w:rPr>
          <w:rFonts w:ascii="Calibri" w:eastAsia="Corbel" w:hAnsi="Calibri" w:cs="Calibri"/>
          <w:b/>
          <w:bCs/>
          <w:lang w:val="en-US"/>
        </w:rPr>
        <w:t>a minimum of two GIC</w:t>
      </w:r>
      <w:r w:rsidRPr="00897922">
        <w:rPr>
          <w:rFonts w:ascii="Calibri" w:eastAsia="Corbel" w:hAnsi="Calibri" w:cs="Calibri"/>
          <w:lang w:val="en-US"/>
        </w:rPr>
        <w:t>, and one ERC educator meeting or medical education conference in</w:t>
      </w:r>
      <w:r w:rsidRPr="00637C64">
        <w:rPr>
          <w:rFonts w:ascii="Calibri" w:eastAsia="Corbel" w:hAnsi="Calibri" w:cs="Calibri"/>
          <w:b/>
          <w:bCs/>
          <w:lang w:val="en-US"/>
        </w:rPr>
        <w:t xml:space="preserve"> 3 years</w:t>
      </w:r>
      <w:r w:rsidR="00637C64">
        <w:rPr>
          <w:rFonts w:ascii="Calibri" w:eastAsia="Corbel" w:hAnsi="Calibri" w:cs="Calibri"/>
          <w:lang w:val="en-US"/>
        </w:rPr>
        <w:t>.</w:t>
      </w:r>
      <w:r w:rsidR="00991891">
        <w:rPr>
          <w:rFonts w:ascii="Calibri" w:eastAsia="Corbel" w:hAnsi="Calibri" w:cs="Calibri"/>
          <w:lang w:val="en-US"/>
        </w:rPr>
        <w:t xml:space="preserve"> (9.33)</w:t>
      </w:r>
    </w:p>
    <w:p w14:paraId="492522B6" w14:textId="77777777" w:rsidR="00632368" w:rsidRPr="00632368" w:rsidRDefault="00632368" w:rsidP="00632368">
      <w:pPr>
        <w:pStyle w:val="ListParagraph"/>
        <w:rPr>
          <w:rFonts w:ascii="Calibri" w:hAnsi="Calibri" w:cs="Calibri"/>
          <w:lang w:val="en-GB"/>
        </w:rPr>
      </w:pPr>
    </w:p>
    <w:p w14:paraId="1A87BB73" w14:textId="04238C42" w:rsidR="00AD365F" w:rsidRDefault="00AD365F" w:rsidP="002C55D3">
      <w:pPr>
        <w:pStyle w:val="ListParagraph"/>
        <w:numPr>
          <w:ilvl w:val="0"/>
          <w:numId w:val="2"/>
        </w:numPr>
        <w:spacing w:after="120"/>
        <w:ind w:left="714" w:hanging="357"/>
        <w:contextualSpacing w:val="0"/>
        <w:rPr>
          <w:lang w:val="en-GB"/>
        </w:rPr>
      </w:pPr>
      <w:r>
        <w:rPr>
          <w:lang w:val="en-GB"/>
        </w:rPr>
        <w:t>RC UK</w:t>
      </w:r>
      <w:r w:rsidRPr="00AD365F">
        <w:rPr>
          <w:lang w:val="en-GB"/>
        </w:rPr>
        <w:t xml:space="preserve"> EPALS and EPILS IP and IC are also considered equivalent </w:t>
      </w:r>
      <w:r>
        <w:rPr>
          <w:lang w:val="en-GB"/>
        </w:rPr>
        <w:t xml:space="preserve">to ERC </w:t>
      </w:r>
      <w:r w:rsidRPr="00AD365F">
        <w:rPr>
          <w:lang w:val="en-GB"/>
        </w:rPr>
        <w:t xml:space="preserve">(as in 11.1) </w:t>
      </w:r>
      <w:r w:rsidRPr="00AD365F">
        <w:rPr>
          <w:b/>
          <w:bCs/>
          <w:lang w:val="en-GB"/>
        </w:rPr>
        <w:t>but CD first need to function as CDC and Instructors have to do one course as IC before being upgraded to ERC instructors</w:t>
      </w:r>
      <w:r>
        <w:rPr>
          <w:lang w:val="en-GB"/>
        </w:rPr>
        <w:t>.</w:t>
      </w:r>
    </w:p>
    <w:p w14:paraId="3FDC70FC" w14:textId="77777777" w:rsidR="00AD1689" w:rsidRPr="00AD1689" w:rsidRDefault="00AD1689" w:rsidP="00AD1689">
      <w:pPr>
        <w:pStyle w:val="ListParagraph"/>
        <w:rPr>
          <w:lang w:val="en-GB"/>
        </w:rPr>
      </w:pPr>
    </w:p>
    <w:p w14:paraId="6348E5DC" w14:textId="235AA39C" w:rsidR="00D066B6" w:rsidRPr="00FE4848" w:rsidRDefault="00AD1689" w:rsidP="00D066B6">
      <w:pPr>
        <w:pStyle w:val="ListParagraph"/>
        <w:numPr>
          <w:ilvl w:val="0"/>
          <w:numId w:val="2"/>
        </w:numPr>
        <w:spacing w:after="120"/>
        <w:ind w:left="714" w:hanging="357"/>
        <w:contextualSpacing w:val="0"/>
        <w:rPr>
          <w:lang w:val="en-GB"/>
        </w:rPr>
      </w:pPr>
      <w:r w:rsidRPr="00FE4848">
        <w:rPr>
          <w:lang w:val="en-GB"/>
        </w:rPr>
        <w:t xml:space="preserve">BLS Instructors can function as a </w:t>
      </w:r>
      <w:r w:rsidRPr="00FE4848">
        <w:rPr>
          <w:b/>
          <w:bCs/>
          <w:lang w:val="en-GB"/>
        </w:rPr>
        <w:t>Lead Instructor</w:t>
      </w:r>
      <w:r w:rsidRPr="00FE4848">
        <w:rPr>
          <w:lang w:val="en-GB"/>
        </w:rPr>
        <w:t xml:space="preserve"> of a BLS course. (12.3) With the provisions of 9.15, the assessment of a BLS IC is </w:t>
      </w:r>
      <w:r w:rsidRPr="00FE4848">
        <w:rPr>
          <w:b/>
          <w:bCs/>
          <w:lang w:val="en-GB"/>
        </w:rPr>
        <w:t>done by the Lead Instructor</w:t>
      </w:r>
      <w:r w:rsidRPr="00FE4848">
        <w:rPr>
          <w:lang w:val="en-GB"/>
        </w:rPr>
        <w:t xml:space="preserve"> and completed online from the moment this is available in CoSy. Upgrade to Instructor is not possible if the relevant assessments were completed by the same Lead instructor. (12.4) Instructors of all types of Adult Advanced Courses need to do </w:t>
      </w:r>
      <w:r w:rsidRPr="00FE4848">
        <w:rPr>
          <w:b/>
          <w:bCs/>
          <w:lang w:val="en-GB"/>
        </w:rPr>
        <w:t>one course as BLS IC before being upgraded to BLS Instructor</w:t>
      </w:r>
      <w:r w:rsidRPr="00FE4848">
        <w:rPr>
          <w:lang w:val="en-GB"/>
        </w:rPr>
        <w:t>. (12.</w:t>
      </w:r>
      <w:r w:rsidR="00991891">
        <w:rPr>
          <w:lang w:val="en-GB"/>
        </w:rPr>
        <w:t>6</w:t>
      </w:r>
      <w:r w:rsidR="00FE4848" w:rsidRPr="00FE4848">
        <w:rPr>
          <w:lang w:val="en-GB"/>
        </w:rPr>
        <w:t>)</w:t>
      </w:r>
    </w:p>
    <w:sectPr w:rsidR="00D066B6" w:rsidRPr="00FE4848" w:rsidSect="007A10A1">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D754F" w14:textId="77777777" w:rsidR="00D1350B" w:rsidRDefault="00D1350B" w:rsidP="000F2915">
      <w:r>
        <w:separator/>
      </w:r>
    </w:p>
  </w:endnote>
  <w:endnote w:type="continuationSeparator" w:id="0">
    <w:p w14:paraId="7DF12BE6" w14:textId="77777777" w:rsidR="00D1350B" w:rsidRDefault="00D1350B" w:rsidP="000F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20B0604020202020204"/>
    <w:charset w:val="00"/>
    <w:family w:val="swiss"/>
    <w:notTrueType/>
    <w:pitch w:val="variable"/>
    <w:sig w:usb0="A00002AF" w:usb1="5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AA356" w14:textId="7B8BFD5B" w:rsidR="00FE4848" w:rsidRPr="00FE4848" w:rsidRDefault="00FE4848">
    <w:pPr>
      <w:pStyle w:val="Footer"/>
      <w:rPr>
        <w:lang w:val="en-US"/>
      </w:rPr>
    </w:pPr>
    <w:r w:rsidRPr="00FE4848">
      <w:rPr>
        <w:lang w:val="en-US"/>
      </w:rPr>
      <w:t xml:space="preserve">These updated Course Rules become applicable </w:t>
    </w:r>
    <w:r>
      <w:rPr>
        <w:lang w:val="en-US"/>
      </w:rPr>
      <w:t>as of 02.01.2021</w:t>
    </w:r>
  </w:p>
  <w:p w14:paraId="1448856D" w14:textId="77777777" w:rsidR="00FE4848" w:rsidRPr="00FE4848" w:rsidRDefault="00FE484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834F6" w14:textId="77777777" w:rsidR="00D1350B" w:rsidRDefault="00D1350B" w:rsidP="000F2915">
      <w:r>
        <w:separator/>
      </w:r>
    </w:p>
  </w:footnote>
  <w:footnote w:type="continuationSeparator" w:id="0">
    <w:p w14:paraId="5B73CA5E" w14:textId="77777777" w:rsidR="00D1350B" w:rsidRDefault="00D1350B" w:rsidP="000F2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4764"/>
    <w:multiLevelType w:val="hybridMultilevel"/>
    <w:tmpl w:val="463E2BBC"/>
    <w:lvl w:ilvl="0" w:tplc="3C0CEFAE">
      <w:start w:val="1"/>
      <w:numFmt w:val="bullet"/>
      <w:lvlText w:val="-"/>
      <w:lvlJc w:val="left"/>
    </w:lvl>
    <w:lvl w:ilvl="1" w:tplc="A7D4FFA8">
      <w:numFmt w:val="decimal"/>
      <w:lvlText w:val=""/>
      <w:lvlJc w:val="left"/>
    </w:lvl>
    <w:lvl w:ilvl="2" w:tplc="7B165F16">
      <w:numFmt w:val="decimal"/>
      <w:lvlText w:val=""/>
      <w:lvlJc w:val="left"/>
    </w:lvl>
    <w:lvl w:ilvl="3" w:tplc="69147B4A">
      <w:numFmt w:val="decimal"/>
      <w:lvlText w:val=""/>
      <w:lvlJc w:val="left"/>
    </w:lvl>
    <w:lvl w:ilvl="4" w:tplc="58BEEE9C">
      <w:numFmt w:val="decimal"/>
      <w:lvlText w:val=""/>
      <w:lvlJc w:val="left"/>
    </w:lvl>
    <w:lvl w:ilvl="5" w:tplc="8A6028B2">
      <w:numFmt w:val="decimal"/>
      <w:lvlText w:val=""/>
      <w:lvlJc w:val="left"/>
    </w:lvl>
    <w:lvl w:ilvl="6" w:tplc="8CCAA1D6">
      <w:numFmt w:val="decimal"/>
      <w:lvlText w:val=""/>
      <w:lvlJc w:val="left"/>
    </w:lvl>
    <w:lvl w:ilvl="7" w:tplc="067C2652">
      <w:numFmt w:val="decimal"/>
      <w:lvlText w:val=""/>
      <w:lvlJc w:val="left"/>
    </w:lvl>
    <w:lvl w:ilvl="8" w:tplc="5A168B0E">
      <w:numFmt w:val="decimal"/>
      <w:lvlText w:val=""/>
      <w:lvlJc w:val="left"/>
    </w:lvl>
  </w:abstractNum>
  <w:abstractNum w:abstractNumId="1" w15:restartNumberingAfterBreak="0">
    <w:nsid w:val="366D2A44"/>
    <w:multiLevelType w:val="multilevel"/>
    <w:tmpl w:val="520E78BC"/>
    <w:lvl w:ilvl="0">
      <w:start w:val="1"/>
      <w:numFmt w:val="decimal"/>
      <w:pStyle w:val="Instructorheader1"/>
      <w:suff w:val="space"/>
      <w:lvlText w:val="Session %1"/>
      <w:lvlJc w:val="left"/>
      <w:pPr>
        <w:ind w:left="0" w:firstLine="0"/>
      </w:pPr>
      <w:rPr>
        <w:rFonts w:hint="default"/>
        <w:color w:val="FF0000"/>
        <w:u w:val="single"/>
      </w:rPr>
    </w:lvl>
    <w:lvl w:ilvl="1">
      <w:start w:val="1"/>
      <w:numFmt w:val="none"/>
      <w:suff w:val="nothing"/>
      <w:lvlText w:val=""/>
      <w:lvlJc w:val="left"/>
      <w:pPr>
        <w:ind w:left="100" w:firstLine="0"/>
      </w:pPr>
      <w:rPr>
        <w:rFonts w:hint="default"/>
      </w:rPr>
    </w:lvl>
    <w:lvl w:ilvl="2">
      <w:start w:val="1"/>
      <w:numFmt w:val="none"/>
      <w:suff w:val="nothing"/>
      <w:lvlText w:val=""/>
      <w:lvlJc w:val="left"/>
      <w:pPr>
        <w:ind w:left="100" w:firstLine="0"/>
      </w:pPr>
      <w:rPr>
        <w:rFonts w:hint="default"/>
      </w:rPr>
    </w:lvl>
    <w:lvl w:ilvl="3">
      <w:start w:val="1"/>
      <w:numFmt w:val="none"/>
      <w:suff w:val="nothing"/>
      <w:lvlText w:val=""/>
      <w:lvlJc w:val="left"/>
      <w:pPr>
        <w:ind w:left="100" w:firstLine="0"/>
      </w:pPr>
      <w:rPr>
        <w:rFonts w:hint="default"/>
      </w:rPr>
    </w:lvl>
    <w:lvl w:ilvl="4">
      <w:start w:val="1"/>
      <w:numFmt w:val="none"/>
      <w:suff w:val="nothing"/>
      <w:lvlText w:val=""/>
      <w:lvlJc w:val="left"/>
      <w:pPr>
        <w:ind w:left="100" w:firstLine="0"/>
      </w:pPr>
      <w:rPr>
        <w:rFonts w:hint="default"/>
      </w:rPr>
    </w:lvl>
    <w:lvl w:ilvl="5">
      <w:start w:val="1"/>
      <w:numFmt w:val="none"/>
      <w:suff w:val="nothing"/>
      <w:lvlText w:val=""/>
      <w:lvlJc w:val="left"/>
      <w:pPr>
        <w:ind w:left="100" w:firstLine="0"/>
      </w:pPr>
      <w:rPr>
        <w:rFonts w:hint="default"/>
      </w:rPr>
    </w:lvl>
    <w:lvl w:ilvl="6">
      <w:start w:val="1"/>
      <w:numFmt w:val="none"/>
      <w:suff w:val="nothing"/>
      <w:lvlText w:val=""/>
      <w:lvlJc w:val="left"/>
      <w:pPr>
        <w:ind w:left="100" w:firstLine="0"/>
      </w:pPr>
      <w:rPr>
        <w:rFonts w:hint="default"/>
      </w:rPr>
    </w:lvl>
    <w:lvl w:ilvl="7">
      <w:start w:val="1"/>
      <w:numFmt w:val="none"/>
      <w:suff w:val="nothing"/>
      <w:lvlText w:val=""/>
      <w:lvlJc w:val="left"/>
      <w:pPr>
        <w:ind w:left="100" w:firstLine="0"/>
      </w:pPr>
      <w:rPr>
        <w:rFonts w:hint="default"/>
      </w:rPr>
    </w:lvl>
    <w:lvl w:ilvl="8">
      <w:start w:val="1"/>
      <w:numFmt w:val="none"/>
      <w:suff w:val="nothing"/>
      <w:lvlText w:val=""/>
      <w:lvlJc w:val="left"/>
      <w:pPr>
        <w:ind w:left="100" w:firstLine="0"/>
      </w:pPr>
      <w:rPr>
        <w:rFonts w:hint="default"/>
      </w:rPr>
    </w:lvl>
  </w:abstractNum>
  <w:abstractNum w:abstractNumId="2" w15:restartNumberingAfterBreak="0">
    <w:nsid w:val="50E35D9C"/>
    <w:multiLevelType w:val="hybridMultilevel"/>
    <w:tmpl w:val="04207F02"/>
    <w:lvl w:ilvl="0" w:tplc="E8747096">
      <w:start w:val="1"/>
      <w:numFmt w:val="decimal"/>
      <w:lvlText w:val="%1."/>
      <w:lvlJc w:val="left"/>
      <w:pPr>
        <w:ind w:left="720" w:hanging="360"/>
      </w:pPr>
      <w:rPr>
        <w:i w:val="0"/>
        <w:iCs w:val="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57"/>
    <w:rsid w:val="000F2915"/>
    <w:rsid w:val="00125E69"/>
    <w:rsid w:val="001B0E38"/>
    <w:rsid w:val="001F7A45"/>
    <w:rsid w:val="002C55D3"/>
    <w:rsid w:val="002D6F47"/>
    <w:rsid w:val="002E7A7F"/>
    <w:rsid w:val="00302A3F"/>
    <w:rsid w:val="00305DAE"/>
    <w:rsid w:val="00333995"/>
    <w:rsid w:val="003B4880"/>
    <w:rsid w:val="003E52A6"/>
    <w:rsid w:val="003E622D"/>
    <w:rsid w:val="004022E2"/>
    <w:rsid w:val="00423CEC"/>
    <w:rsid w:val="00486687"/>
    <w:rsid w:val="005E2179"/>
    <w:rsid w:val="00607E22"/>
    <w:rsid w:val="00632368"/>
    <w:rsid w:val="00637C64"/>
    <w:rsid w:val="006F5D14"/>
    <w:rsid w:val="00713A30"/>
    <w:rsid w:val="007A10A1"/>
    <w:rsid w:val="007A1AFD"/>
    <w:rsid w:val="007A1D21"/>
    <w:rsid w:val="00822C78"/>
    <w:rsid w:val="00825BF1"/>
    <w:rsid w:val="00847711"/>
    <w:rsid w:val="00861CA0"/>
    <w:rsid w:val="00897922"/>
    <w:rsid w:val="00991891"/>
    <w:rsid w:val="009A4DC0"/>
    <w:rsid w:val="009B6B42"/>
    <w:rsid w:val="00A0783E"/>
    <w:rsid w:val="00A47D13"/>
    <w:rsid w:val="00A6371E"/>
    <w:rsid w:val="00AA1632"/>
    <w:rsid w:val="00AC3A97"/>
    <w:rsid w:val="00AD1689"/>
    <w:rsid w:val="00AD365F"/>
    <w:rsid w:val="00B07B17"/>
    <w:rsid w:val="00B22DD3"/>
    <w:rsid w:val="00B6272A"/>
    <w:rsid w:val="00B77948"/>
    <w:rsid w:val="00B82278"/>
    <w:rsid w:val="00B93A77"/>
    <w:rsid w:val="00BE4D57"/>
    <w:rsid w:val="00BF371C"/>
    <w:rsid w:val="00C014FC"/>
    <w:rsid w:val="00C2458D"/>
    <w:rsid w:val="00D066B6"/>
    <w:rsid w:val="00D1350B"/>
    <w:rsid w:val="00D40469"/>
    <w:rsid w:val="00D90A68"/>
    <w:rsid w:val="00E03A7B"/>
    <w:rsid w:val="00F130EB"/>
    <w:rsid w:val="00F4506D"/>
    <w:rsid w:val="00FE4848"/>
    <w:rsid w:val="00FF2F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7EA8"/>
  <w15:chartTrackingRefBased/>
  <w15:docId w15:val="{7F64D46C-4797-E446-BD00-8053E256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orheader1">
    <w:name w:val="Instructor header 1"/>
    <w:basedOn w:val="Normal"/>
    <w:next w:val="BodyText"/>
    <w:uiPriority w:val="1"/>
    <w:qFormat/>
    <w:rsid w:val="00847711"/>
    <w:pPr>
      <w:numPr>
        <w:numId w:val="1"/>
      </w:numPr>
      <w:spacing w:before="120"/>
    </w:pPr>
    <w:rPr>
      <w:rFonts w:ascii="Myriad Pro"/>
      <w:b/>
      <w:color w:val="0070C0"/>
      <w:spacing w:val="-4"/>
      <w:sz w:val="50"/>
      <w:szCs w:val="22"/>
      <w:lang w:val="en-US"/>
    </w:rPr>
  </w:style>
  <w:style w:type="paragraph" w:styleId="BodyText">
    <w:name w:val="Body Text"/>
    <w:basedOn w:val="Normal"/>
    <w:link w:val="BodyTextChar"/>
    <w:uiPriority w:val="99"/>
    <w:semiHidden/>
    <w:unhideWhenUsed/>
    <w:rsid w:val="00847711"/>
    <w:pPr>
      <w:spacing w:after="120"/>
    </w:pPr>
  </w:style>
  <w:style w:type="character" w:customStyle="1" w:styleId="BodyTextChar">
    <w:name w:val="Body Text Char"/>
    <w:basedOn w:val="DefaultParagraphFont"/>
    <w:link w:val="BodyText"/>
    <w:uiPriority w:val="99"/>
    <w:semiHidden/>
    <w:rsid w:val="00847711"/>
  </w:style>
  <w:style w:type="paragraph" w:styleId="ListParagraph">
    <w:name w:val="List Paragraph"/>
    <w:basedOn w:val="Normal"/>
    <w:uiPriority w:val="34"/>
    <w:qFormat/>
    <w:rsid w:val="00BE4D57"/>
    <w:pPr>
      <w:ind w:left="720"/>
      <w:contextualSpacing/>
    </w:pPr>
  </w:style>
  <w:style w:type="paragraph" w:styleId="FootnoteText">
    <w:name w:val="footnote text"/>
    <w:basedOn w:val="Normal"/>
    <w:link w:val="FootnoteTextChar"/>
    <w:uiPriority w:val="99"/>
    <w:semiHidden/>
    <w:unhideWhenUsed/>
    <w:rsid w:val="000F2915"/>
    <w:rPr>
      <w:sz w:val="20"/>
      <w:szCs w:val="20"/>
    </w:rPr>
  </w:style>
  <w:style w:type="character" w:customStyle="1" w:styleId="FootnoteTextChar">
    <w:name w:val="Footnote Text Char"/>
    <w:basedOn w:val="DefaultParagraphFont"/>
    <w:link w:val="FootnoteText"/>
    <w:uiPriority w:val="99"/>
    <w:semiHidden/>
    <w:rsid w:val="000F2915"/>
    <w:rPr>
      <w:sz w:val="20"/>
      <w:szCs w:val="20"/>
    </w:rPr>
  </w:style>
  <w:style w:type="character" w:styleId="FootnoteReference">
    <w:name w:val="footnote reference"/>
    <w:basedOn w:val="DefaultParagraphFont"/>
    <w:uiPriority w:val="99"/>
    <w:semiHidden/>
    <w:unhideWhenUsed/>
    <w:rsid w:val="000F2915"/>
    <w:rPr>
      <w:vertAlign w:val="superscript"/>
    </w:rPr>
  </w:style>
  <w:style w:type="paragraph" w:styleId="BalloonText">
    <w:name w:val="Balloon Text"/>
    <w:basedOn w:val="Normal"/>
    <w:link w:val="BalloonTextChar"/>
    <w:uiPriority w:val="99"/>
    <w:semiHidden/>
    <w:unhideWhenUsed/>
    <w:rsid w:val="00C014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14FC"/>
    <w:rPr>
      <w:rFonts w:ascii="Times New Roman" w:hAnsi="Times New Roman" w:cs="Times New Roman"/>
      <w:sz w:val="18"/>
      <w:szCs w:val="18"/>
    </w:rPr>
  </w:style>
  <w:style w:type="paragraph" w:styleId="NoSpacing">
    <w:name w:val="No Spacing"/>
    <w:uiPriority w:val="1"/>
    <w:qFormat/>
    <w:rsid w:val="00FE4848"/>
  </w:style>
  <w:style w:type="paragraph" w:styleId="EndnoteText">
    <w:name w:val="endnote text"/>
    <w:basedOn w:val="Normal"/>
    <w:link w:val="EndnoteTextChar"/>
    <w:uiPriority w:val="99"/>
    <w:semiHidden/>
    <w:unhideWhenUsed/>
    <w:rsid w:val="00FE4848"/>
    <w:rPr>
      <w:sz w:val="20"/>
      <w:szCs w:val="20"/>
    </w:rPr>
  </w:style>
  <w:style w:type="character" w:customStyle="1" w:styleId="EndnoteTextChar">
    <w:name w:val="Endnote Text Char"/>
    <w:basedOn w:val="DefaultParagraphFont"/>
    <w:link w:val="EndnoteText"/>
    <w:uiPriority w:val="99"/>
    <w:semiHidden/>
    <w:rsid w:val="00FE4848"/>
    <w:rPr>
      <w:sz w:val="20"/>
      <w:szCs w:val="20"/>
    </w:rPr>
  </w:style>
  <w:style w:type="character" w:styleId="EndnoteReference">
    <w:name w:val="endnote reference"/>
    <w:basedOn w:val="DefaultParagraphFont"/>
    <w:uiPriority w:val="99"/>
    <w:semiHidden/>
    <w:unhideWhenUsed/>
    <w:rsid w:val="00FE4848"/>
    <w:rPr>
      <w:vertAlign w:val="superscript"/>
    </w:rPr>
  </w:style>
  <w:style w:type="paragraph" w:styleId="Header">
    <w:name w:val="header"/>
    <w:basedOn w:val="Normal"/>
    <w:link w:val="HeaderChar"/>
    <w:uiPriority w:val="99"/>
    <w:unhideWhenUsed/>
    <w:rsid w:val="00FE4848"/>
    <w:pPr>
      <w:tabs>
        <w:tab w:val="center" w:pos="4536"/>
        <w:tab w:val="right" w:pos="9072"/>
      </w:tabs>
    </w:pPr>
  </w:style>
  <w:style w:type="character" w:customStyle="1" w:styleId="HeaderChar">
    <w:name w:val="Header Char"/>
    <w:basedOn w:val="DefaultParagraphFont"/>
    <w:link w:val="Header"/>
    <w:uiPriority w:val="99"/>
    <w:rsid w:val="00FE4848"/>
  </w:style>
  <w:style w:type="paragraph" w:styleId="Footer">
    <w:name w:val="footer"/>
    <w:basedOn w:val="Normal"/>
    <w:link w:val="FooterChar"/>
    <w:uiPriority w:val="99"/>
    <w:unhideWhenUsed/>
    <w:rsid w:val="00FE4848"/>
    <w:pPr>
      <w:tabs>
        <w:tab w:val="center" w:pos="4536"/>
        <w:tab w:val="right" w:pos="9072"/>
      </w:tabs>
    </w:pPr>
  </w:style>
  <w:style w:type="character" w:customStyle="1" w:styleId="FooterChar">
    <w:name w:val="Footer Char"/>
    <w:basedOn w:val="DefaultParagraphFont"/>
    <w:link w:val="Footer"/>
    <w:uiPriority w:val="99"/>
    <w:rsid w:val="00FE4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2AF7-B9FC-E749-BA89-89032BA8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738</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Vissers</dc:creator>
  <cp:keywords/>
  <dc:description/>
  <cp:lastModifiedBy>Urgent</cp:lastModifiedBy>
  <cp:revision>16</cp:revision>
  <dcterms:created xsi:type="dcterms:W3CDTF">2020-11-20T10:34:00Z</dcterms:created>
  <dcterms:modified xsi:type="dcterms:W3CDTF">2021-01-08T11:19:00Z</dcterms:modified>
</cp:coreProperties>
</file>